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B6EC2" w14:textId="77777777" w:rsidR="000D74B6" w:rsidRPr="00A87D73" w:rsidRDefault="00197193" w:rsidP="00197193">
      <w:pPr>
        <w:pStyle w:val="Title"/>
        <w:jc w:val="center"/>
        <w:rPr>
          <w:b/>
          <w:bCs/>
          <w:u w:val="single"/>
          <w:lang w:val="en-US"/>
        </w:rPr>
      </w:pPr>
      <w:r w:rsidRPr="00A87D73">
        <w:rPr>
          <w:b/>
          <w:bCs/>
          <w:u w:val="single"/>
          <w:lang w:val="en-US"/>
        </w:rPr>
        <w:t>Instructie toets afnemen</w:t>
      </w:r>
    </w:p>
    <w:p w14:paraId="74F4E3BC" w14:textId="77777777" w:rsidR="00197193" w:rsidRPr="00197193" w:rsidRDefault="00197193" w:rsidP="00197193">
      <w:pPr>
        <w:rPr>
          <w:lang w:val="en-US"/>
        </w:rPr>
      </w:pPr>
    </w:p>
    <w:p w14:paraId="71D1ACA3" w14:textId="7A066530" w:rsidR="00197193" w:rsidRDefault="00197193" w:rsidP="001971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7193">
        <w:rPr>
          <w:sz w:val="24"/>
          <w:szCs w:val="24"/>
          <w:u w:val="single"/>
        </w:rPr>
        <w:t>Deel 1</w:t>
      </w:r>
      <w:r w:rsidRPr="00197193">
        <w:rPr>
          <w:sz w:val="24"/>
          <w:szCs w:val="24"/>
        </w:rPr>
        <w:t xml:space="preserve"> van de toets gaat over de metacognitie van leerlingen in wiskunde: wat denken zij zelf te kunnen? </w:t>
      </w:r>
      <w:r w:rsidRPr="00197193">
        <w:rPr>
          <w:sz w:val="24"/>
          <w:szCs w:val="24"/>
          <w:u w:val="single"/>
        </w:rPr>
        <w:t>Deel 2</w:t>
      </w:r>
      <w:r w:rsidRPr="00197193">
        <w:rPr>
          <w:sz w:val="24"/>
          <w:szCs w:val="24"/>
        </w:rPr>
        <w:t xml:space="preserve"> gaat over de cognitie van leerlingen in wiskunde: dit zijn opgaven die ze normaal ook zouden kunnen krijgen.</w:t>
      </w:r>
      <w:r w:rsidR="00DA0786">
        <w:rPr>
          <w:sz w:val="24"/>
          <w:szCs w:val="24"/>
        </w:rPr>
        <w:t xml:space="preserve"> Bespreek dit met de leerlingen vooraf.</w:t>
      </w:r>
    </w:p>
    <w:p w14:paraId="13D8E779" w14:textId="77777777" w:rsidR="00197193" w:rsidRPr="00197193" w:rsidRDefault="00197193" w:rsidP="00197193">
      <w:pPr>
        <w:pStyle w:val="ListParagraph"/>
        <w:rPr>
          <w:sz w:val="24"/>
          <w:szCs w:val="24"/>
        </w:rPr>
      </w:pPr>
    </w:p>
    <w:p w14:paraId="0334C2FC" w14:textId="7403FCCF" w:rsidR="00197193" w:rsidRPr="00DA0786" w:rsidRDefault="00197193" w:rsidP="00DA07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7193">
        <w:rPr>
          <w:sz w:val="24"/>
          <w:szCs w:val="24"/>
        </w:rPr>
        <w:t>Het is een toets waarbij leerlingen goed moeten lezen</w:t>
      </w:r>
      <w:r>
        <w:rPr>
          <w:sz w:val="24"/>
          <w:szCs w:val="24"/>
        </w:rPr>
        <w:t xml:space="preserve"> (vooral </w:t>
      </w:r>
      <w:r w:rsidR="00DA0786">
        <w:rPr>
          <w:sz w:val="24"/>
          <w:szCs w:val="24"/>
        </w:rPr>
        <w:t>bij deel 1 is het belangrijk om goed te lezen</w:t>
      </w:r>
      <w:r>
        <w:rPr>
          <w:sz w:val="24"/>
          <w:szCs w:val="24"/>
        </w:rPr>
        <w:t>)</w:t>
      </w:r>
      <w:r w:rsidRPr="00197193">
        <w:rPr>
          <w:sz w:val="24"/>
          <w:szCs w:val="24"/>
        </w:rPr>
        <w:t xml:space="preserve">. </w:t>
      </w:r>
      <w:r w:rsidR="00DA0786">
        <w:rPr>
          <w:sz w:val="24"/>
          <w:szCs w:val="24"/>
        </w:rPr>
        <w:t>Het kan handig zijn om onderdelen/opgaven vooraf te bespreken met de leerlingen (zonder het antwoord te geven).</w:t>
      </w:r>
      <w:bookmarkStart w:id="0" w:name="_GoBack"/>
      <w:bookmarkEnd w:id="0"/>
      <w:r w:rsidRPr="00DA0786">
        <w:rPr>
          <w:sz w:val="24"/>
          <w:szCs w:val="24"/>
        </w:rPr>
        <w:br/>
      </w:r>
    </w:p>
    <w:p w14:paraId="1A28EF9A" w14:textId="1DB2BE9A" w:rsidR="00197193" w:rsidRPr="00197193" w:rsidRDefault="00197193" w:rsidP="001971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7193">
        <w:rPr>
          <w:sz w:val="24"/>
          <w:szCs w:val="24"/>
        </w:rPr>
        <w:t xml:space="preserve">In totaal moet </w:t>
      </w:r>
      <w:r w:rsidR="00DA0786">
        <w:rPr>
          <w:sz w:val="24"/>
          <w:szCs w:val="24"/>
        </w:rPr>
        <w:t>éé</w:t>
      </w:r>
      <w:r w:rsidRPr="00197193">
        <w:rPr>
          <w:sz w:val="24"/>
          <w:szCs w:val="24"/>
        </w:rPr>
        <w:t xml:space="preserve">n lesuur genoeg zijn voor de leerlingen om de toets te maken. Mochten leerlingen het niet afkrijgen in deze tijd, dan is het oké om hen extra tijd te geven. </w:t>
      </w:r>
      <w:r w:rsidR="00DA0786">
        <w:rPr>
          <w:sz w:val="24"/>
          <w:szCs w:val="24"/>
        </w:rPr>
        <w:t xml:space="preserve">Deel 1 en deel 2 mogen ook in twee keer gegeven worden, maar deel 1 moet als eerst afgenomen worden. </w:t>
      </w:r>
      <w:r>
        <w:rPr>
          <w:sz w:val="24"/>
          <w:szCs w:val="24"/>
        </w:rPr>
        <w:br/>
      </w:r>
    </w:p>
    <w:p w14:paraId="14AE9779" w14:textId="6E695354" w:rsidR="00DA0786" w:rsidRDefault="00197193" w:rsidP="00DA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Leerlingen mogen bij het maken van deze toets </w:t>
      </w:r>
      <w:r w:rsidRPr="00197193">
        <w:rPr>
          <w:sz w:val="24"/>
          <w:szCs w:val="24"/>
          <w:u w:val="single"/>
        </w:rPr>
        <w:t xml:space="preserve">geen </w:t>
      </w:r>
      <w:r w:rsidRPr="00197193">
        <w:rPr>
          <w:sz w:val="24"/>
          <w:szCs w:val="24"/>
        </w:rPr>
        <w:t>rekenmachine</w:t>
      </w:r>
      <w:r>
        <w:rPr>
          <w:sz w:val="24"/>
          <w:szCs w:val="24"/>
        </w:rPr>
        <w:t xml:space="preserve"> of geodriehoek</w:t>
      </w:r>
      <w:r w:rsidRPr="00197193">
        <w:rPr>
          <w:sz w:val="24"/>
          <w:szCs w:val="24"/>
        </w:rPr>
        <w:t xml:space="preserve"> gebruiken</w:t>
      </w:r>
      <w:r>
        <w:rPr>
          <w:sz w:val="24"/>
          <w:szCs w:val="24"/>
        </w:rPr>
        <w:t>.</w:t>
      </w:r>
      <w:r w:rsidR="00DA0786">
        <w:rPr>
          <w:sz w:val="24"/>
          <w:szCs w:val="24"/>
        </w:rPr>
        <w:br/>
      </w:r>
    </w:p>
    <w:p w14:paraId="7BA8F35A" w14:textId="79A592BB" w:rsidR="00DA0786" w:rsidRDefault="00DA0786" w:rsidP="00DA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Kladpapier is toegestaan, maar we willen wel graag de berekening zien op het antwoordblad. Soms kunnen we dan nog punten geven voor de berekening.</w:t>
      </w:r>
    </w:p>
    <w:p w14:paraId="5FFB0725" w14:textId="77777777" w:rsidR="00DA0786" w:rsidRDefault="00DA0786" w:rsidP="00DA0786">
      <w:pPr>
        <w:pStyle w:val="ListParagraph"/>
        <w:rPr>
          <w:sz w:val="24"/>
          <w:szCs w:val="24"/>
        </w:rPr>
      </w:pPr>
    </w:p>
    <w:p w14:paraId="7C13801B" w14:textId="037DE6C8" w:rsidR="00DA0786" w:rsidRDefault="00DA0786" w:rsidP="00DA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Als leerlingen aangeven het antwoord op de vraag niet te weten, motiveer hen dan om zoveel mogelijk op te schrijven en/of in te vullen wat ze denken dat het goede antwoord is. </w:t>
      </w:r>
    </w:p>
    <w:p w14:paraId="6FB155F9" w14:textId="77777777" w:rsidR="00DA0786" w:rsidRDefault="00DA0786" w:rsidP="00DA0786">
      <w:pPr>
        <w:pStyle w:val="ListParagraph"/>
        <w:rPr>
          <w:sz w:val="24"/>
          <w:szCs w:val="24"/>
        </w:rPr>
      </w:pPr>
    </w:p>
    <w:p w14:paraId="465AF5D9" w14:textId="5FA9FDFE" w:rsidR="00DA0786" w:rsidRPr="00DA0786" w:rsidRDefault="00DA0786" w:rsidP="00DA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Het is oké om uitleg te geven over woorden in de opgaven die de leerlingen niet begrijpen. </w:t>
      </w:r>
      <w:r w:rsidRPr="00DA0786">
        <w:rPr>
          <w:sz w:val="24"/>
          <w:szCs w:val="24"/>
        </w:rPr>
        <w:t xml:space="preserve"> </w:t>
      </w:r>
    </w:p>
    <w:p w14:paraId="5C2B73AA" w14:textId="77777777" w:rsidR="00197193" w:rsidRDefault="00197193" w:rsidP="00197193">
      <w:pPr>
        <w:pStyle w:val="ListParagraph"/>
        <w:rPr>
          <w:sz w:val="24"/>
          <w:szCs w:val="24"/>
        </w:rPr>
      </w:pPr>
    </w:p>
    <w:p w14:paraId="0A01252A" w14:textId="77777777" w:rsidR="00197193" w:rsidRDefault="00197193" w:rsidP="00197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Laat leerlingen de antwoorden invullen op het blad zelf. Op deze manier hebben de materialen bij elkaar. </w:t>
      </w:r>
    </w:p>
    <w:p w14:paraId="68FB7F04" w14:textId="77777777" w:rsidR="00A87D73" w:rsidRPr="00A87D73" w:rsidRDefault="00A87D73" w:rsidP="00A87D73">
      <w:pPr>
        <w:pStyle w:val="ListParagraph"/>
        <w:rPr>
          <w:sz w:val="24"/>
          <w:szCs w:val="24"/>
        </w:rPr>
      </w:pPr>
    </w:p>
    <w:p w14:paraId="1344B697" w14:textId="77777777" w:rsidR="00A87D73" w:rsidRPr="00A87D73" w:rsidRDefault="00A87D73" w:rsidP="00A87D73">
      <w:pPr>
        <w:rPr>
          <w:b/>
          <w:bCs/>
          <w:sz w:val="24"/>
          <w:szCs w:val="24"/>
        </w:rPr>
      </w:pPr>
      <w:r w:rsidRPr="00A87D73">
        <w:rPr>
          <w:b/>
          <w:bCs/>
          <w:sz w:val="24"/>
          <w:szCs w:val="24"/>
        </w:rPr>
        <w:t xml:space="preserve">Neem de toets de volgende bijeenkomst mee </w:t>
      </w:r>
      <w:r>
        <w:rPr>
          <w:b/>
          <w:bCs/>
          <w:sz w:val="24"/>
          <w:szCs w:val="24"/>
        </w:rPr>
        <w:t xml:space="preserve">(12 november) </w:t>
      </w:r>
      <w:r w:rsidRPr="00A87D73">
        <w:rPr>
          <w:b/>
          <w:bCs/>
          <w:sz w:val="24"/>
          <w:szCs w:val="24"/>
        </w:rPr>
        <w:t>en lever de toets vooraf bij Jitske, Jörgen of Gerrit in!</w:t>
      </w:r>
    </w:p>
    <w:sectPr w:rsidR="00A87D73" w:rsidRPr="00A8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50FF"/>
    <w:multiLevelType w:val="hybridMultilevel"/>
    <w:tmpl w:val="7408CC70"/>
    <w:lvl w:ilvl="0" w:tplc="C49E81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93"/>
    <w:rsid w:val="00197193"/>
    <w:rsid w:val="008721E0"/>
    <w:rsid w:val="00A87D73"/>
    <w:rsid w:val="00DA0786"/>
    <w:rsid w:val="00F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33A3"/>
  <w15:chartTrackingRefBased/>
  <w15:docId w15:val="{34F4450C-2626-4274-BA35-60F31932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71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1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9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Vries, J.A. de (BMS)</dc:creator>
  <cp:keywords/>
  <dc:description/>
  <cp:lastModifiedBy>Vries, J.A. de (BMS)</cp:lastModifiedBy>
  <cp:revision>3</cp:revision>
  <dcterms:created xsi:type="dcterms:W3CDTF">2019-09-18T07:53:00Z</dcterms:created>
  <dcterms:modified xsi:type="dcterms:W3CDTF">2019-09-23T07:29:00Z</dcterms:modified>
</cp:coreProperties>
</file>